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047" w:rsidRPr="00014412" w:rsidRDefault="00014412">
      <w:pPr>
        <w:rPr>
          <w:rFonts w:ascii="Bodoni MT Black" w:hAnsi="Bodoni MT Black"/>
          <w:i/>
          <w:sz w:val="32"/>
        </w:rPr>
      </w:pPr>
      <w:r>
        <w:rPr>
          <w:rFonts w:ascii="Bodoni MT Black" w:hAnsi="Bodoni MT Black"/>
          <w:i/>
          <w:noProof/>
          <w:sz w:val="32"/>
        </w:rPr>
        <w:drawing>
          <wp:anchor distT="0" distB="0" distL="114300" distR="114300" simplePos="0" relativeHeight="251658240" behindDoc="1" locked="0" layoutInCell="1" allowOverlap="1">
            <wp:simplePos x="0" y="0"/>
            <wp:positionH relativeFrom="column">
              <wp:posOffset>182245</wp:posOffset>
            </wp:positionH>
            <wp:positionV relativeFrom="paragraph">
              <wp:posOffset>38100</wp:posOffset>
            </wp:positionV>
            <wp:extent cx="386715" cy="904875"/>
            <wp:effectExtent l="0" t="0" r="0" b="0"/>
            <wp:wrapTight wrapText="bothSides">
              <wp:wrapPolygon edited="0">
                <wp:start x="13833" y="0"/>
                <wp:lineTo x="0" y="2728"/>
                <wp:lineTo x="6384" y="7276"/>
                <wp:lineTo x="2128" y="11368"/>
                <wp:lineTo x="2128" y="21373"/>
                <wp:lineTo x="9576" y="21373"/>
                <wp:lineTo x="14897" y="21373"/>
                <wp:lineTo x="19153" y="17735"/>
                <wp:lineTo x="18089" y="14552"/>
                <wp:lineTo x="21281" y="7731"/>
                <wp:lineTo x="21281" y="5457"/>
                <wp:lineTo x="19153" y="0"/>
                <wp:lineTo x="13833" y="0"/>
              </wp:wrapPolygon>
            </wp:wrapTight>
            <wp:docPr id="1" name="Picture 0" descr="82506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06403.jpg"/>
                    <pic:cNvPicPr/>
                  </pic:nvPicPr>
                  <pic:blipFill>
                    <a:blip r:embed="rId5" cstate="print"/>
                    <a:stretch>
                      <a:fillRect/>
                    </a:stretch>
                  </pic:blipFill>
                  <pic:spPr>
                    <a:xfrm>
                      <a:off x="0" y="0"/>
                      <a:ext cx="386715" cy="904875"/>
                    </a:xfrm>
                    <a:prstGeom prst="rect">
                      <a:avLst/>
                    </a:prstGeom>
                  </pic:spPr>
                </pic:pic>
              </a:graphicData>
            </a:graphic>
          </wp:anchor>
        </w:drawing>
      </w:r>
      <w:r w:rsidR="00760BC3">
        <w:rPr>
          <w:rFonts w:ascii="Bodoni MT Black" w:hAnsi="Bodoni MT Black"/>
          <w:i/>
          <w:noProof/>
          <w:sz w:val="32"/>
        </w:rPr>
        <w:t>The Te of Piglet</w:t>
      </w:r>
    </w:p>
    <w:p w:rsidR="003A3AFC" w:rsidRDefault="003A3AFC">
      <w:pPr>
        <w:rPr>
          <w:rFonts w:ascii="Arial" w:hAnsi="Arial" w:cs="Arial"/>
        </w:rPr>
      </w:pPr>
      <w:r w:rsidRPr="00014412">
        <w:rPr>
          <w:rFonts w:ascii="Arial" w:hAnsi="Arial" w:cs="Arial"/>
        </w:rPr>
        <w:t>Use this bookmark to help track your reading assignments. You sho</w:t>
      </w:r>
      <w:r w:rsidR="00760BC3">
        <w:rPr>
          <w:rFonts w:ascii="Arial" w:hAnsi="Arial" w:cs="Arial"/>
        </w:rPr>
        <w:t xml:space="preserve">uld have completed reading the assigned </w:t>
      </w:r>
      <w:r w:rsidRPr="00014412">
        <w:rPr>
          <w:rFonts w:ascii="Arial" w:hAnsi="Arial" w:cs="Arial"/>
        </w:rPr>
        <w:t>chapter</w:t>
      </w:r>
      <w:r w:rsidR="00760BC3">
        <w:rPr>
          <w:rFonts w:ascii="Arial" w:hAnsi="Arial" w:cs="Arial"/>
        </w:rPr>
        <w:t>s</w:t>
      </w:r>
      <w:r w:rsidRPr="00014412">
        <w:rPr>
          <w:rFonts w:ascii="Arial" w:hAnsi="Arial" w:cs="Arial"/>
        </w:rPr>
        <w:t xml:space="preserve"> by the date</w:t>
      </w:r>
      <w:r w:rsidR="00760BC3">
        <w:rPr>
          <w:rFonts w:ascii="Arial" w:hAnsi="Arial" w:cs="Arial"/>
        </w:rPr>
        <w:t>s</w:t>
      </w:r>
      <w:r w:rsidRPr="00014412">
        <w:rPr>
          <w:rFonts w:ascii="Arial" w:hAnsi="Arial" w:cs="Arial"/>
        </w:rPr>
        <w:t xml:space="preserve"> listed below. Since you have these deadlines in advance, being absent is no excuse for not having read. </w:t>
      </w:r>
      <w:r w:rsidR="00760BC3">
        <w:rPr>
          <w:rFonts w:ascii="Arial" w:hAnsi="Arial" w:cs="Arial"/>
        </w:rPr>
        <w:t>It will be impossible to do well on the assignments if you are not prepared. Expect to receive prep notes a few days before each lit circle.</w:t>
      </w:r>
    </w:p>
    <w:p w:rsidR="00760BC3" w:rsidRDefault="00760BC3">
      <w:pPr>
        <w:rPr>
          <w:rFonts w:ascii="Arial" w:hAnsi="Arial" w:cs="Arial"/>
        </w:rPr>
      </w:pPr>
    </w:p>
    <w:p w:rsidR="00760BC3" w:rsidRDefault="00760BC3">
      <w:pPr>
        <w:rPr>
          <w:rFonts w:ascii="Arial" w:hAnsi="Arial" w:cs="Arial"/>
        </w:rPr>
      </w:pPr>
      <w:r>
        <w:rPr>
          <w:rFonts w:ascii="Arial" w:hAnsi="Arial" w:cs="Arial"/>
        </w:rPr>
        <w:t>Lit Circle 1 and Journal Check</w:t>
      </w:r>
    </w:p>
    <w:p w:rsidR="00760BC3" w:rsidRDefault="00760BC3">
      <w:pPr>
        <w:rPr>
          <w:rFonts w:ascii="Arial" w:hAnsi="Arial" w:cs="Arial"/>
        </w:rPr>
      </w:pPr>
      <w:proofErr w:type="gramStart"/>
      <w:r>
        <w:rPr>
          <w:rFonts w:ascii="Arial" w:hAnsi="Arial" w:cs="Arial"/>
        </w:rPr>
        <w:t>pp.1-52</w:t>
      </w:r>
      <w:proofErr w:type="gramEnd"/>
      <w:r>
        <w:rPr>
          <w:rFonts w:ascii="Arial" w:hAnsi="Arial" w:cs="Arial"/>
        </w:rPr>
        <w:t xml:space="preserve"> (at least 7-8 entries)</w:t>
      </w:r>
    </w:p>
    <w:p w:rsidR="00760BC3" w:rsidRPr="00CB375A" w:rsidRDefault="00CB375A">
      <w:pPr>
        <w:rPr>
          <w:rFonts w:ascii="Arial" w:hAnsi="Arial" w:cs="Arial"/>
          <w:b/>
        </w:rPr>
      </w:pPr>
      <w:r w:rsidRPr="00CB375A">
        <w:rPr>
          <w:rFonts w:ascii="Arial" w:hAnsi="Arial" w:cs="Arial"/>
          <w:b/>
        </w:rPr>
        <w:t>Wednesday, Dec. 4</w:t>
      </w:r>
    </w:p>
    <w:p w:rsidR="00760BC3" w:rsidRDefault="00760BC3">
      <w:pPr>
        <w:rPr>
          <w:rFonts w:ascii="Arial" w:hAnsi="Arial" w:cs="Arial"/>
        </w:rPr>
      </w:pPr>
    </w:p>
    <w:p w:rsidR="00760BC3" w:rsidRDefault="00760BC3">
      <w:pPr>
        <w:rPr>
          <w:rFonts w:ascii="Arial" w:hAnsi="Arial" w:cs="Arial"/>
        </w:rPr>
      </w:pPr>
      <w:r>
        <w:rPr>
          <w:rFonts w:ascii="Arial" w:hAnsi="Arial" w:cs="Arial"/>
        </w:rPr>
        <w:t>Lit Circle 2 and Journals DUE</w:t>
      </w:r>
    </w:p>
    <w:p w:rsidR="00760BC3" w:rsidRDefault="00760BC3">
      <w:pPr>
        <w:rPr>
          <w:rFonts w:ascii="Arial" w:hAnsi="Arial" w:cs="Arial"/>
        </w:rPr>
      </w:pPr>
      <w:r>
        <w:rPr>
          <w:rFonts w:ascii="Arial" w:hAnsi="Arial" w:cs="Arial"/>
        </w:rPr>
        <w:t>pp. 53-106 (Between 15-20 entries)</w:t>
      </w:r>
    </w:p>
    <w:p w:rsidR="00760BC3" w:rsidRPr="00CB375A" w:rsidRDefault="00CB375A">
      <w:pPr>
        <w:rPr>
          <w:rFonts w:ascii="Arial" w:hAnsi="Arial" w:cs="Arial"/>
          <w:b/>
        </w:rPr>
      </w:pPr>
      <w:r w:rsidRPr="00CB375A">
        <w:rPr>
          <w:rFonts w:ascii="Arial" w:hAnsi="Arial" w:cs="Arial"/>
          <w:b/>
        </w:rPr>
        <w:t>Thursday, Dec. 12</w:t>
      </w:r>
    </w:p>
    <w:p w:rsidR="00D64113" w:rsidRDefault="00D64113" w:rsidP="00014412">
      <w:pPr>
        <w:rPr>
          <w:rFonts w:ascii="Bodoni MT Black" w:hAnsi="Bodoni MT Black"/>
          <w:i/>
          <w:noProof/>
          <w:sz w:val="32"/>
        </w:rPr>
      </w:pPr>
    </w:p>
    <w:p w:rsidR="00D64113" w:rsidRDefault="00D64113" w:rsidP="00014412">
      <w:pPr>
        <w:rPr>
          <w:rFonts w:ascii="Bodoni MT Black" w:hAnsi="Bodoni MT Black"/>
          <w:i/>
          <w:noProof/>
          <w:sz w:val="32"/>
        </w:rPr>
      </w:pPr>
    </w:p>
    <w:p w:rsidR="00CB375A" w:rsidRPr="00014412" w:rsidRDefault="00CB375A" w:rsidP="00CB375A">
      <w:pPr>
        <w:rPr>
          <w:rFonts w:ascii="Bodoni MT Black" w:hAnsi="Bodoni MT Black"/>
          <w:i/>
          <w:sz w:val="32"/>
        </w:rPr>
      </w:pPr>
      <w:r>
        <w:rPr>
          <w:rFonts w:ascii="Bodoni MT Black" w:hAnsi="Bodoni MT Black"/>
          <w:i/>
          <w:noProof/>
          <w:sz w:val="32"/>
        </w:rPr>
        <w:drawing>
          <wp:anchor distT="0" distB="0" distL="114300" distR="114300" simplePos="0" relativeHeight="251689984" behindDoc="1" locked="0" layoutInCell="1" allowOverlap="1">
            <wp:simplePos x="0" y="0"/>
            <wp:positionH relativeFrom="column">
              <wp:posOffset>182245</wp:posOffset>
            </wp:positionH>
            <wp:positionV relativeFrom="paragraph">
              <wp:posOffset>38100</wp:posOffset>
            </wp:positionV>
            <wp:extent cx="386715" cy="904875"/>
            <wp:effectExtent l="0" t="0" r="0" b="0"/>
            <wp:wrapTight wrapText="bothSides">
              <wp:wrapPolygon edited="0">
                <wp:start x="13833" y="0"/>
                <wp:lineTo x="0" y="2728"/>
                <wp:lineTo x="6384" y="7276"/>
                <wp:lineTo x="2128" y="11368"/>
                <wp:lineTo x="2128" y="21373"/>
                <wp:lineTo x="9576" y="21373"/>
                <wp:lineTo x="14897" y="21373"/>
                <wp:lineTo x="19153" y="17735"/>
                <wp:lineTo x="18089" y="14552"/>
                <wp:lineTo x="21281" y="7731"/>
                <wp:lineTo x="21281" y="5457"/>
                <wp:lineTo x="19153" y="0"/>
                <wp:lineTo x="13833" y="0"/>
              </wp:wrapPolygon>
            </wp:wrapTight>
            <wp:docPr id="3" name="Picture 0" descr="82506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06403.jpg"/>
                    <pic:cNvPicPr/>
                  </pic:nvPicPr>
                  <pic:blipFill>
                    <a:blip r:embed="rId5" cstate="print"/>
                    <a:stretch>
                      <a:fillRect/>
                    </a:stretch>
                  </pic:blipFill>
                  <pic:spPr>
                    <a:xfrm>
                      <a:off x="0" y="0"/>
                      <a:ext cx="386715" cy="904875"/>
                    </a:xfrm>
                    <a:prstGeom prst="rect">
                      <a:avLst/>
                    </a:prstGeom>
                  </pic:spPr>
                </pic:pic>
              </a:graphicData>
            </a:graphic>
          </wp:anchor>
        </w:drawing>
      </w:r>
      <w:r>
        <w:rPr>
          <w:rFonts w:ascii="Bodoni MT Black" w:hAnsi="Bodoni MT Black"/>
          <w:i/>
          <w:noProof/>
          <w:sz w:val="32"/>
        </w:rPr>
        <w:t>The Te of Piglet</w:t>
      </w:r>
    </w:p>
    <w:p w:rsidR="00CB375A" w:rsidRDefault="00CB375A" w:rsidP="00CB375A">
      <w:pPr>
        <w:rPr>
          <w:rFonts w:ascii="Arial" w:hAnsi="Arial" w:cs="Arial"/>
        </w:rPr>
      </w:pPr>
      <w:r w:rsidRPr="00014412">
        <w:rPr>
          <w:rFonts w:ascii="Arial" w:hAnsi="Arial" w:cs="Arial"/>
        </w:rPr>
        <w:t>Use this bookmark to help track your reading assignments. You sho</w:t>
      </w:r>
      <w:r>
        <w:rPr>
          <w:rFonts w:ascii="Arial" w:hAnsi="Arial" w:cs="Arial"/>
        </w:rPr>
        <w:t xml:space="preserve">uld have completed reading the assigned </w:t>
      </w:r>
      <w:r w:rsidRPr="00014412">
        <w:rPr>
          <w:rFonts w:ascii="Arial" w:hAnsi="Arial" w:cs="Arial"/>
        </w:rPr>
        <w:t>chapter</w:t>
      </w:r>
      <w:r>
        <w:rPr>
          <w:rFonts w:ascii="Arial" w:hAnsi="Arial" w:cs="Arial"/>
        </w:rPr>
        <w:t>s</w:t>
      </w:r>
      <w:r w:rsidRPr="00014412">
        <w:rPr>
          <w:rFonts w:ascii="Arial" w:hAnsi="Arial" w:cs="Arial"/>
        </w:rPr>
        <w:t xml:space="preserve"> by the date</w:t>
      </w:r>
      <w:r>
        <w:rPr>
          <w:rFonts w:ascii="Arial" w:hAnsi="Arial" w:cs="Arial"/>
        </w:rPr>
        <w:t>s</w:t>
      </w:r>
      <w:r w:rsidRPr="00014412">
        <w:rPr>
          <w:rFonts w:ascii="Arial" w:hAnsi="Arial" w:cs="Arial"/>
        </w:rPr>
        <w:t xml:space="preserve"> listed below. Since you have these deadlines in advance, being absent is no excuse for not having read. </w:t>
      </w:r>
      <w:r>
        <w:rPr>
          <w:rFonts w:ascii="Arial" w:hAnsi="Arial" w:cs="Arial"/>
        </w:rPr>
        <w:t>It will be impossible to do well on the assignments if you are not prepared. Expect to receive prep notes a few days before each lit circle.</w:t>
      </w:r>
    </w:p>
    <w:p w:rsidR="00CB375A" w:rsidRDefault="00CB375A" w:rsidP="00CB375A">
      <w:pPr>
        <w:rPr>
          <w:rFonts w:ascii="Arial" w:hAnsi="Arial" w:cs="Arial"/>
        </w:rPr>
      </w:pPr>
    </w:p>
    <w:p w:rsidR="00CB375A" w:rsidRDefault="00CB375A" w:rsidP="00CB375A">
      <w:pPr>
        <w:rPr>
          <w:rFonts w:ascii="Arial" w:hAnsi="Arial" w:cs="Arial"/>
        </w:rPr>
      </w:pPr>
      <w:r>
        <w:rPr>
          <w:rFonts w:ascii="Arial" w:hAnsi="Arial" w:cs="Arial"/>
        </w:rPr>
        <w:t>Lit Circle 1 and Journal Check</w:t>
      </w:r>
    </w:p>
    <w:p w:rsidR="00CB375A" w:rsidRDefault="00CB375A" w:rsidP="00CB375A">
      <w:pPr>
        <w:rPr>
          <w:rFonts w:ascii="Arial" w:hAnsi="Arial" w:cs="Arial"/>
        </w:rPr>
      </w:pPr>
      <w:proofErr w:type="gramStart"/>
      <w:r>
        <w:rPr>
          <w:rFonts w:ascii="Arial" w:hAnsi="Arial" w:cs="Arial"/>
        </w:rPr>
        <w:t>pp.1-52</w:t>
      </w:r>
      <w:proofErr w:type="gramEnd"/>
      <w:r>
        <w:rPr>
          <w:rFonts w:ascii="Arial" w:hAnsi="Arial" w:cs="Arial"/>
        </w:rPr>
        <w:t xml:space="preserve"> (at least 7-8 entries)</w:t>
      </w:r>
    </w:p>
    <w:p w:rsidR="00CB375A" w:rsidRPr="00CB375A" w:rsidRDefault="00CB375A" w:rsidP="00CB375A">
      <w:pPr>
        <w:rPr>
          <w:rFonts w:ascii="Arial" w:hAnsi="Arial" w:cs="Arial"/>
          <w:b/>
        </w:rPr>
      </w:pPr>
      <w:r w:rsidRPr="00CB375A">
        <w:rPr>
          <w:rFonts w:ascii="Arial" w:hAnsi="Arial" w:cs="Arial"/>
          <w:b/>
        </w:rPr>
        <w:t>Wednesday, Dec. 4</w:t>
      </w:r>
    </w:p>
    <w:p w:rsidR="00CB375A" w:rsidRDefault="00CB375A" w:rsidP="00CB375A">
      <w:pPr>
        <w:rPr>
          <w:rFonts w:ascii="Arial" w:hAnsi="Arial" w:cs="Arial"/>
        </w:rPr>
      </w:pPr>
    </w:p>
    <w:p w:rsidR="00CB375A" w:rsidRDefault="00CB375A" w:rsidP="00CB375A">
      <w:pPr>
        <w:rPr>
          <w:rFonts w:ascii="Arial" w:hAnsi="Arial" w:cs="Arial"/>
        </w:rPr>
      </w:pPr>
      <w:r>
        <w:rPr>
          <w:rFonts w:ascii="Arial" w:hAnsi="Arial" w:cs="Arial"/>
        </w:rPr>
        <w:t>Lit Circle 2 and Journals DUE</w:t>
      </w:r>
    </w:p>
    <w:p w:rsidR="00CB375A" w:rsidRDefault="00CB375A" w:rsidP="00CB375A">
      <w:pPr>
        <w:rPr>
          <w:rFonts w:ascii="Arial" w:hAnsi="Arial" w:cs="Arial"/>
        </w:rPr>
      </w:pPr>
      <w:r>
        <w:rPr>
          <w:rFonts w:ascii="Arial" w:hAnsi="Arial" w:cs="Arial"/>
        </w:rPr>
        <w:t>pp. 53-106 (Between 15-20 entries)</w:t>
      </w:r>
    </w:p>
    <w:p w:rsidR="00CB375A" w:rsidRPr="00CB375A" w:rsidRDefault="00CB375A" w:rsidP="00CB375A">
      <w:pPr>
        <w:rPr>
          <w:rFonts w:ascii="Arial" w:hAnsi="Arial" w:cs="Arial"/>
          <w:b/>
        </w:rPr>
      </w:pPr>
      <w:r w:rsidRPr="00CB375A">
        <w:rPr>
          <w:rFonts w:ascii="Arial" w:hAnsi="Arial" w:cs="Arial"/>
          <w:b/>
        </w:rPr>
        <w:t>Thursday, Dec. 12</w:t>
      </w:r>
    </w:p>
    <w:p w:rsidR="00CB375A" w:rsidRDefault="00CB375A" w:rsidP="00CB375A">
      <w:pPr>
        <w:rPr>
          <w:rFonts w:ascii="Bodoni MT Black" w:hAnsi="Bodoni MT Black"/>
          <w:i/>
          <w:noProof/>
          <w:sz w:val="32"/>
        </w:rPr>
      </w:pPr>
    </w:p>
    <w:p w:rsidR="00014412" w:rsidRPr="003A3AFC" w:rsidRDefault="00014412" w:rsidP="00014412">
      <w:pPr>
        <w:rPr>
          <w:rFonts w:ascii="Bodoni MT Black" w:hAnsi="Bodoni MT Black"/>
          <w:i/>
          <w:sz w:val="32"/>
        </w:rPr>
      </w:pPr>
    </w:p>
    <w:p w:rsidR="00CB375A" w:rsidRPr="00014412" w:rsidRDefault="00CB375A" w:rsidP="00CB375A">
      <w:pPr>
        <w:rPr>
          <w:rFonts w:ascii="Bodoni MT Black" w:hAnsi="Bodoni MT Black"/>
          <w:i/>
          <w:sz w:val="32"/>
        </w:rPr>
      </w:pPr>
      <w:r>
        <w:rPr>
          <w:rFonts w:ascii="Bodoni MT Black" w:hAnsi="Bodoni MT Black"/>
          <w:i/>
          <w:noProof/>
          <w:sz w:val="32"/>
        </w:rPr>
        <w:drawing>
          <wp:anchor distT="0" distB="0" distL="114300" distR="114300" simplePos="0" relativeHeight="251692032" behindDoc="1" locked="0" layoutInCell="1" allowOverlap="1">
            <wp:simplePos x="0" y="0"/>
            <wp:positionH relativeFrom="column">
              <wp:posOffset>182245</wp:posOffset>
            </wp:positionH>
            <wp:positionV relativeFrom="paragraph">
              <wp:posOffset>38100</wp:posOffset>
            </wp:positionV>
            <wp:extent cx="386715" cy="904875"/>
            <wp:effectExtent l="0" t="0" r="0" b="0"/>
            <wp:wrapTight wrapText="bothSides">
              <wp:wrapPolygon edited="0">
                <wp:start x="13833" y="0"/>
                <wp:lineTo x="0" y="2728"/>
                <wp:lineTo x="6384" y="7276"/>
                <wp:lineTo x="2128" y="11368"/>
                <wp:lineTo x="2128" y="21373"/>
                <wp:lineTo x="9576" y="21373"/>
                <wp:lineTo x="14897" y="21373"/>
                <wp:lineTo x="19153" y="17735"/>
                <wp:lineTo x="18089" y="14552"/>
                <wp:lineTo x="21281" y="7731"/>
                <wp:lineTo x="21281" y="5457"/>
                <wp:lineTo x="19153" y="0"/>
                <wp:lineTo x="13833" y="0"/>
              </wp:wrapPolygon>
            </wp:wrapTight>
            <wp:docPr id="4" name="Picture 0" descr="82506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06403.jpg"/>
                    <pic:cNvPicPr/>
                  </pic:nvPicPr>
                  <pic:blipFill>
                    <a:blip r:embed="rId5" cstate="print"/>
                    <a:stretch>
                      <a:fillRect/>
                    </a:stretch>
                  </pic:blipFill>
                  <pic:spPr>
                    <a:xfrm>
                      <a:off x="0" y="0"/>
                      <a:ext cx="386715" cy="904875"/>
                    </a:xfrm>
                    <a:prstGeom prst="rect">
                      <a:avLst/>
                    </a:prstGeom>
                  </pic:spPr>
                </pic:pic>
              </a:graphicData>
            </a:graphic>
          </wp:anchor>
        </w:drawing>
      </w:r>
      <w:r>
        <w:rPr>
          <w:rFonts w:ascii="Bodoni MT Black" w:hAnsi="Bodoni MT Black"/>
          <w:i/>
          <w:noProof/>
          <w:sz w:val="32"/>
        </w:rPr>
        <w:t>The Te of Piglet</w:t>
      </w:r>
    </w:p>
    <w:p w:rsidR="00CB375A" w:rsidRDefault="00CB375A" w:rsidP="00CB375A">
      <w:pPr>
        <w:rPr>
          <w:rFonts w:ascii="Arial" w:hAnsi="Arial" w:cs="Arial"/>
        </w:rPr>
      </w:pPr>
      <w:r w:rsidRPr="00014412">
        <w:rPr>
          <w:rFonts w:ascii="Arial" w:hAnsi="Arial" w:cs="Arial"/>
        </w:rPr>
        <w:t>Use this bookmark to help track your reading assignments. You sho</w:t>
      </w:r>
      <w:r>
        <w:rPr>
          <w:rFonts w:ascii="Arial" w:hAnsi="Arial" w:cs="Arial"/>
        </w:rPr>
        <w:t xml:space="preserve">uld have completed reading the assigned </w:t>
      </w:r>
      <w:r w:rsidRPr="00014412">
        <w:rPr>
          <w:rFonts w:ascii="Arial" w:hAnsi="Arial" w:cs="Arial"/>
        </w:rPr>
        <w:t>chapter</w:t>
      </w:r>
      <w:r>
        <w:rPr>
          <w:rFonts w:ascii="Arial" w:hAnsi="Arial" w:cs="Arial"/>
        </w:rPr>
        <w:t>s</w:t>
      </w:r>
      <w:r w:rsidRPr="00014412">
        <w:rPr>
          <w:rFonts w:ascii="Arial" w:hAnsi="Arial" w:cs="Arial"/>
        </w:rPr>
        <w:t xml:space="preserve"> by the date</w:t>
      </w:r>
      <w:r>
        <w:rPr>
          <w:rFonts w:ascii="Arial" w:hAnsi="Arial" w:cs="Arial"/>
        </w:rPr>
        <w:t>s</w:t>
      </w:r>
      <w:r w:rsidRPr="00014412">
        <w:rPr>
          <w:rFonts w:ascii="Arial" w:hAnsi="Arial" w:cs="Arial"/>
        </w:rPr>
        <w:t xml:space="preserve"> listed below. Since you have these deadlines in advance, being absent is no excuse for not having read. </w:t>
      </w:r>
      <w:r>
        <w:rPr>
          <w:rFonts w:ascii="Arial" w:hAnsi="Arial" w:cs="Arial"/>
        </w:rPr>
        <w:t>It will be impossible to do well on the assignments if you are not prepared. Expect to receive prep notes a few days before each lit circle.</w:t>
      </w:r>
    </w:p>
    <w:p w:rsidR="00CB375A" w:rsidRDefault="00CB375A" w:rsidP="00CB375A">
      <w:pPr>
        <w:rPr>
          <w:rFonts w:ascii="Arial" w:hAnsi="Arial" w:cs="Arial"/>
        </w:rPr>
      </w:pPr>
    </w:p>
    <w:p w:rsidR="00CB375A" w:rsidRDefault="00CB375A" w:rsidP="00CB375A">
      <w:pPr>
        <w:rPr>
          <w:rFonts w:ascii="Arial" w:hAnsi="Arial" w:cs="Arial"/>
        </w:rPr>
      </w:pPr>
      <w:r>
        <w:rPr>
          <w:rFonts w:ascii="Arial" w:hAnsi="Arial" w:cs="Arial"/>
        </w:rPr>
        <w:t>Lit Circle 1 and Journal Check</w:t>
      </w:r>
    </w:p>
    <w:p w:rsidR="00CB375A" w:rsidRDefault="00CB375A" w:rsidP="00CB375A">
      <w:pPr>
        <w:rPr>
          <w:rFonts w:ascii="Arial" w:hAnsi="Arial" w:cs="Arial"/>
        </w:rPr>
      </w:pPr>
      <w:proofErr w:type="gramStart"/>
      <w:r>
        <w:rPr>
          <w:rFonts w:ascii="Arial" w:hAnsi="Arial" w:cs="Arial"/>
        </w:rPr>
        <w:t>pp.1-52</w:t>
      </w:r>
      <w:proofErr w:type="gramEnd"/>
      <w:r>
        <w:rPr>
          <w:rFonts w:ascii="Arial" w:hAnsi="Arial" w:cs="Arial"/>
        </w:rPr>
        <w:t xml:space="preserve"> (at least 7-8 entries)</w:t>
      </w:r>
    </w:p>
    <w:p w:rsidR="00CB375A" w:rsidRPr="00CB375A" w:rsidRDefault="00CB375A" w:rsidP="00CB375A">
      <w:pPr>
        <w:rPr>
          <w:rFonts w:ascii="Arial" w:hAnsi="Arial" w:cs="Arial"/>
          <w:b/>
        </w:rPr>
      </w:pPr>
      <w:r w:rsidRPr="00CB375A">
        <w:rPr>
          <w:rFonts w:ascii="Arial" w:hAnsi="Arial" w:cs="Arial"/>
          <w:b/>
        </w:rPr>
        <w:t>Wednesday, Dec. 4</w:t>
      </w:r>
    </w:p>
    <w:p w:rsidR="00CB375A" w:rsidRDefault="00CB375A" w:rsidP="00CB375A">
      <w:pPr>
        <w:rPr>
          <w:rFonts w:ascii="Arial" w:hAnsi="Arial" w:cs="Arial"/>
        </w:rPr>
      </w:pPr>
    </w:p>
    <w:p w:rsidR="00CB375A" w:rsidRDefault="00CB375A" w:rsidP="00CB375A">
      <w:pPr>
        <w:rPr>
          <w:rFonts w:ascii="Arial" w:hAnsi="Arial" w:cs="Arial"/>
        </w:rPr>
      </w:pPr>
      <w:r>
        <w:rPr>
          <w:rFonts w:ascii="Arial" w:hAnsi="Arial" w:cs="Arial"/>
        </w:rPr>
        <w:t>Lit Circle 2 and Journals DUE</w:t>
      </w:r>
    </w:p>
    <w:p w:rsidR="00CB375A" w:rsidRDefault="00CB375A" w:rsidP="00CB375A">
      <w:pPr>
        <w:rPr>
          <w:rFonts w:ascii="Arial" w:hAnsi="Arial" w:cs="Arial"/>
        </w:rPr>
      </w:pPr>
      <w:r>
        <w:rPr>
          <w:rFonts w:ascii="Arial" w:hAnsi="Arial" w:cs="Arial"/>
        </w:rPr>
        <w:t>pp. 53-106 (Between 15-20 entries)</w:t>
      </w:r>
    </w:p>
    <w:p w:rsidR="00CB375A" w:rsidRPr="00CB375A" w:rsidRDefault="00CB375A" w:rsidP="00CB375A">
      <w:pPr>
        <w:rPr>
          <w:rFonts w:ascii="Arial" w:hAnsi="Arial" w:cs="Arial"/>
          <w:b/>
        </w:rPr>
      </w:pPr>
      <w:r w:rsidRPr="00CB375A">
        <w:rPr>
          <w:rFonts w:ascii="Arial" w:hAnsi="Arial" w:cs="Arial"/>
          <w:b/>
        </w:rPr>
        <w:t>Thursday, Dec. 12</w:t>
      </w:r>
    </w:p>
    <w:p w:rsidR="00CB375A" w:rsidRDefault="00CB375A" w:rsidP="00CB375A">
      <w:pPr>
        <w:rPr>
          <w:rFonts w:ascii="Bodoni MT Black" w:hAnsi="Bodoni MT Black"/>
          <w:i/>
          <w:noProof/>
          <w:sz w:val="32"/>
        </w:rPr>
      </w:pPr>
    </w:p>
    <w:p w:rsidR="00014412" w:rsidRDefault="00014412">
      <w:pPr>
        <w:rPr>
          <w:rFonts w:ascii="Bodoni MT Black" w:hAnsi="Bodoni MT Black"/>
          <w:i/>
          <w:sz w:val="32"/>
        </w:rPr>
      </w:pPr>
    </w:p>
    <w:p w:rsidR="00CB375A" w:rsidRPr="00014412" w:rsidRDefault="00CB375A" w:rsidP="00CB375A">
      <w:pPr>
        <w:rPr>
          <w:rFonts w:ascii="Bodoni MT Black" w:hAnsi="Bodoni MT Black"/>
          <w:i/>
          <w:sz w:val="32"/>
        </w:rPr>
      </w:pPr>
      <w:r>
        <w:rPr>
          <w:rFonts w:ascii="Bodoni MT Black" w:hAnsi="Bodoni MT Black"/>
          <w:i/>
          <w:noProof/>
          <w:sz w:val="32"/>
        </w:rPr>
        <w:drawing>
          <wp:anchor distT="0" distB="0" distL="114300" distR="114300" simplePos="0" relativeHeight="251694080" behindDoc="1" locked="0" layoutInCell="1" allowOverlap="1">
            <wp:simplePos x="0" y="0"/>
            <wp:positionH relativeFrom="column">
              <wp:posOffset>182245</wp:posOffset>
            </wp:positionH>
            <wp:positionV relativeFrom="paragraph">
              <wp:posOffset>38100</wp:posOffset>
            </wp:positionV>
            <wp:extent cx="386715" cy="904875"/>
            <wp:effectExtent l="0" t="0" r="0" b="0"/>
            <wp:wrapTight wrapText="bothSides">
              <wp:wrapPolygon edited="0">
                <wp:start x="13833" y="0"/>
                <wp:lineTo x="0" y="2728"/>
                <wp:lineTo x="6384" y="7276"/>
                <wp:lineTo x="2128" y="11368"/>
                <wp:lineTo x="2128" y="21373"/>
                <wp:lineTo x="9576" y="21373"/>
                <wp:lineTo x="14897" y="21373"/>
                <wp:lineTo x="19153" y="17735"/>
                <wp:lineTo x="18089" y="14552"/>
                <wp:lineTo x="21281" y="7731"/>
                <wp:lineTo x="21281" y="5457"/>
                <wp:lineTo x="19153" y="0"/>
                <wp:lineTo x="13833" y="0"/>
              </wp:wrapPolygon>
            </wp:wrapTight>
            <wp:docPr id="5" name="Picture 0" descr="82506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06403.jpg"/>
                    <pic:cNvPicPr/>
                  </pic:nvPicPr>
                  <pic:blipFill>
                    <a:blip r:embed="rId5" cstate="print"/>
                    <a:stretch>
                      <a:fillRect/>
                    </a:stretch>
                  </pic:blipFill>
                  <pic:spPr>
                    <a:xfrm>
                      <a:off x="0" y="0"/>
                      <a:ext cx="386715" cy="904875"/>
                    </a:xfrm>
                    <a:prstGeom prst="rect">
                      <a:avLst/>
                    </a:prstGeom>
                  </pic:spPr>
                </pic:pic>
              </a:graphicData>
            </a:graphic>
          </wp:anchor>
        </w:drawing>
      </w:r>
      <w:r>
        <w:rPr>
          <w:rFonts w:ascii="Bodoni MT Black" w:hAnsi="Bodoni MT Black"/>
          <w:i/>
          <w:noProof/>
          <w:sz w:val="32"/>
        </w:rPr>
        <w:t>The Te of Piglet</w:t>
      </w:r>
    </w:p>
    <w:p w:rsidR="00CB375A" w:rsidRDefault="00CB375A" w:rsidP="00CB375A">
      <w:pPr>
        <w:rPr>
          <w:rFonts w:ascii="Arial" w:hAnsi="Arial" w:cs="Arial"/>
        </w:rPr>
      </w:pPr>
      <w:r w:rsidRPr="00014412">
        <w:rPr>
          <w:rFonts w:ascii="Arial" w:hAnsi="Arial" w:cs="Arial"/>
        </w:rPr>
        <w:t>Use this bookmark to help track your reading assignments. You sho</w:t>
      </w:r>
      <w:r>
        <w:rPr>
          <w:rFonts w:ascii="Arial" w:hAnsi="Arial" w:cs="Arial"/>
        </w:rPr>
        <w:t xml:space="preserve">uld have completed reading the assigned </w:t>
      </w:r>
      <w:r w:rsidRPr="00014412">
        <w:rPr>
          <w:rFonts w:ascii="Arial" w:hAnsi="Arial" w:cs="Arial"/>
        </w:rPr>
        <w:t>chapter</w:t>
      </w:r>
      <w:r>
        <w:rPr>
          <w:rFonts w:ascii="Arial" w:hAnsi="Arial" w:cs="Arial"/>
        </w:rPr>
        <w:t>s</w:t>
      </w:r>
      <w:r w:rsidRPr="00014412">
        <w:rPr>
          <w:rFonts w:ascii="Arial" w:hAnsi="Arial" w:cs="Arial"/>
        </w:rPr>
        <w:t xml:space="preserve"> by the date</w:t>
      </w:r>
      <w:r>
        <w:rPr>
          <w:rFonts w:ascii="Arial" w:hAnsi="Arial" w:cs="Arial"/>
        </w:rPr>
        <w:t>s</w:t>
      </w:r>
      <w:r w:rsidRPr="00014412">
        <w:rPr>
          <w:rFonts w:ascii="Arial" w:hAnsi="Arial" w:cs="Arial"/>
        </w:rPr>
        <w:t xml:space="preserve"> listed below. Since you have these deadlines in advance, being absent is no excuse for not having read. </w:t>
      </w:r>
      <w:r>
        <w:rPr>
          <w:rFonts w:ascii="Arial" w:hAnsi="Arial" w:cs="Arial"/>
        </w:rPr>
        <w:t>It will be impossible to do well on the assignments if you are not prepared. Expect to receive prep notes a few days before each lit circle.</w:t>
      </w:r>
    </w:p>
    <w:p w:rsidR="00CB375A" w:rsidRDefault="00CB375A" w:rsidP="00CB375A">
      <w:pPr>
        <w:rPr>
          <w:rFonts w:ascii="Arial" w:hAnsi="Arial" w:cs="Arial"/>
        </w:rPr>
      </w:pPr>
    </w:p>
    <w:p w:rsidR="00CB375A" w:rsidRDefault="00CB375A" w:rsidP="00CB375A">
      <w:pPr>
        <w:rPr>
          <w:rFonts w:ascii="Arial" w:hAnsi="Arial" w:cs="Arial"/>
        </w:rPr>
      </w:pPr>
      <w:r>
        <w:rPr>
          <w:rFonts w:ascii="Arial" w:hAnsi="Arial" w:cs="Arial"/>
        </w:rPr>
        <w:t>Lit Circle 1 and Journal Check</w:t>
      </w:r>
    </w:p>
    <w:p w:rsidR="00CB375A" w:rsidRDefault="00CB375A" w:rsidP="00CB375A">
      <w:pPr>
        <w:rPr>
          <w:rFonts w:ascii="Arial" w:hAnsi="Arial" w:cs="Arial"/>
        </w:rPr>
      </w:pPr>
      <w:proofErr w:type="gramStart"/>
      <w:r>
        <w:rPr>
          <w:rFonts w:ascii="Arial" w:hAnsi="Arial" w:cs="Arial"/>
        </w:rPr>
        <w:t>pp.1-52</w:t>
      </w:r>
      <w:proofErr w:type="gramEnd"/>
      <w:r>
        <w:rPr>
          <w:rFonts w:ascii="Arial" w:hAnsi="Arial" w:cs="Arial"/>
        </w:rPr>
        <w:t xml:space="preserve"> (at least 7-8 entries)</w:t>
      </w:r>
    </w:p>
    <w:p w:rsidR="00CB375A" w:rsidRPr="00CB375A" w:rsidRDefault="00CB375A" w:rsidP="00CB375A">
      <w:pPr>
        <w:rPr>
          <w:rFonts w:ascii="Arial" w:hAnsi="Arial" w:cs="Arial"/>
          <w:b/>
        </w:rPr>
      </w:pPr>
      <w:r w:rsidRPr="00CB375A">
        <w:rPr>
          <w:rFonts w:ascii="Arial" w:hAnsi="Arial" w:cs="Arial"/>
          <w:b/>
        </w:rPr>
        <w:t>Wednesday, Dec. 4</w:t>
      </w:r>
    </w:p>
    <w:p w:rsidR="00CB375A" w:rsidRDefault="00CB375A" w:rsidP="00CB375A">
      <w:pPr>
        <w:rPr>
          <w:rFonts w:ascii="Arial" w:hAnsi="Arial" w:cs="Arial"/>
        </w:rPr>
      </w:pPr>
    </w:p>
    <w:p w:rsidR="00CB375A" w:rsidRDefault="00CB375A" w:rsidP="00CB375A">
      <w:pPr>
        <w:rPr>
          <w:rFonts w:ascii="Arial" w:hAnsi="Arial" w:cs="Arial"/>
        </w:rPr>
      </w:pPr>
      <w:r>
        <w:rPr>
          <w:rFonts w:ascii="Arial" w:hAnsi="Arial" w:cs="Arial"/>
        </w:rPr>
        <w:t>Lit Circle 2 and Journals DUE</w:t>
      </w:r>
    </w:p>
    <w:p w:rsidR="00CB375A" w:rsidRDefault="00CB375A" w:rsidP="00CB375A">
      <w:pPr>
        <w:rPr>
          <w:rFonts w:ascii="Arial" w:hAnsi="Arial" w:cs="Arial"/>
        </w:rPr>
      </w:pPr>
      <w:r>
        <w:rPr>
          <w:rFonts w:ascii="Arial" w:hAnsi="Arial" w:cs="Arial"/>
        </w:rPr>
        <w:t>pp. 53-106 (Between 15-20 entries)</w:t>
      </w:r>
    </w:p>
    <w:p w:rsidR="00CB375A" w:rsidRPr="00CB375A" w:rsidRDefault="00CB375A" w:rsidP="00CB375A">
      <w:pPr>
        <w:rPr>
          <w:rFonts w:ascii="Arial" w:hAnsi="Arial" w:cs="Arial"/>
          <w:b/>
        </w:rPr>
      </w:pPr>
      <w:r w:rsidRPr="00CB375A">
        <w:rPr>
          <w:rFonts w:ascii="Arial" w:hAnsi="Arial" w:cs="Arial"/>
          <w:b/>
        </w:rPr>
        <w:t>Thursday, Dec. 12</w:t>
      </w:r>
    </w:p>
    <w:p w:rsidR="00CB375A" w:rsidRDefault="00CB375A" w:rsidP="00CB375A">
      <w:pPr>
        <w:rPr>
          <w:rFonts w:ascii="Bodoni MT Black" w:hAnsi="Bodoni MT Black"/>
          <w:i/>
          <w:noProof/>
          <w:sz w:val="32"/>
        </w:rPr>
      </w:pPr>
    </w:p>
    <w:p w:rsidR="00014412" w:rsidRDefault="00014412">
      <w:pPr>
        <w:rPr>
          <w:rFonts w:ascii="Bodoni MT Black" w:hAnsi="Bodoni MT Black"/>
          <w:i/>
          <w:sz w:val="32"/>
        </w:rPr>
      </w:pPr>
    </w:p>
    <w:p w:rsidR="00014412" w:rsidRDefault="00014412">
      <w:pPr>
        <w:rPr>
          <w:rFonts w:ascii="Lucida Handwriting" w:hAnsi="Lucida Handwriting"/>
          <w:b/>
          <w:sz w:val="28"/>
        </w:rPr>
      </w:pPr>
      <w:r w:rsidRPr="00014412">
        <w:rPr>
          <w:rFonts w:ascii="Lucida Handwriting" w:hAnsi="Lucida Handwriting"/>
          <w:b/>
          <w:noProof/>
          <w:sz w:val="28"/>
        </w:rPr>
        <w:lastRenderedPageBreak/>
        <w:drawing>
          <wp:anchor distT="0" distB="0" distL="114300" distR="114300" simplePos="0" relativeHeight="251667456" behindDoc="1" locked="0" layoutInCell="1" allowOverlap="1">
            <wp:simplePos x="0" y="0"/>
            <wp:positionH relativeFrom="column">
              <wp:posOffset>-95250</wp:posOffset>
            </wp:positionH>
            <wp:positionV relativeFrom="paragraph">
              <wp:posOffset>-114300</wp:posOffset>
            </wp:positionV>
            <wp:extent cx="923925" cy="923925"/>
            <wp:effectExtent l="19050" t="0" r="9525" b="0"/>
            <wp:wrapTight wrapText="bothSides">
              <wp:wrapPolygon edited="0">
                <wp:start x="-445" y="0"/>
                <wp:lineTo x="-445" y="21377"/>
                <wp:lineTo x="21823" y="21377"/>
                <wp:lineTo x="21823" y="0"/>
                <wp:lineTo x="-445" y="0"/>
              </wp:wrapPolygon>
            </wp:wrapTight>
            <wp:docPr id="11" name="Picture 7" descr="32964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964151.gif"/>
                    <pic:cNvPicPr/>
                  </pic:nvPicPr>
                  <pic:blipFill>
                    <a:blip r:embed="rId6" cstate="print"/>
                    <a:stretch>
                      <a:fillRect/>
                    </a:stretch>
                  </pic:blipFill>
                  <pic:spPr>
                    <a:xfrm>
                      <a:off x="0" y="0"/>
                      <a:ext cx="923925" cy="923925"/>
                    </a:xfrm>
                    <a:prstGeom prst="rect">
                      <a:avLst/>
                    </a:prstGeom>
                  </pic:spPr>
                </pic:pic>
              </a:graphicData>
            </a:graphic>
          </wp:anchor>
        </w:drawing>
      </w:r>
      <w:r w:rsidRPr="00014412">
        <w:rPr>
          <w:rFonts w:ascii="Lucida Handwriting" w:hAnsi="Lucida Handwriting"/>
          <w:b/>
          <w:sz w:val="28"/>
        </w:rPr>
        <w:t>Reading Journal</w:t>
      </w:r>
    </w:p>
    <w:p w:rsidR="00014412" w:rsidRPr="00CC7441" w:rsidRDefault="00014412">
      <w:pPr>
        <w:rPr>
          <w:rFonts w:ascii="Arial" w:hAnsi="Arial" w:cs="Arial"/>
          <w:sz w:val="20"/>
          <w:szCs w:val="20"/>
        </w:rPr>
      </w:pPr>
      <w:r w:rsidRPr="00CC7441">
        <w:rPr>
          <w:rFonts w:ascii="Arial" w:hAnsi="Arial" w:cs="Arial"/>
          <w:b/>
          <w:sz w:val="20"/>
          <w:szCs w:val="20"/>
        </w:rPr>
        <w:t>Reading is thinking</w:t>
      </w:r>
      <w:r w:rsidRPr="00CC7441">
        <w:rPr>
          <w:rFonts w:ascii="Arial" w:hAnsi="Arial" w:cs="Arial"/>
          <w:sz w:val="20"/>
          <w:szCs w:val="20"/>
        </w:rPr>
        <w:t xml:space="preserve">. To help you dig deep into the text, you’ll keep a reading journal, recording </w:t>
      </w:r>
      <w:r w:rsidR="00D64113" w:rsidRPr="00CC7441">
        <w:rPr>
          <w:rFonts w:ascii="Arial" w:hAnsi="Arial" w:cs="Arial"/>
          <w:sz w:val="20"/>
          <w:szCs w:val="20"/>
        </w:rPr>
        <w:t>evidence (</w:t>
      </w:r>
      <w:r w:rsidRPr="00CC7441">
        <w:rPr>
          <w:rFonts w:ascii="Arial" w:hAnsi="Arial" w:cs="Arial"/>
          <w:sz w:val="20"/>
          <w:szCs w:val="20"/>
        </w:rPr>
        <w:t>CD’s</w:t>
      </w:r>
      <w:r w:rsidR="00D64113" w:rsidRPr="00CC7441">
        <w:rPr>
          <w:rFonts w:ascii="Arial" w:hAnsi="Arial" w:cs="Arial"/>
          <w:sz w:val="20"/>
          <w:szCs w:val="20"/>
        </w:rPr>
        <w:t>)</w:t>
      </w:r>
      <w:r w:rsidRPr="00CC7441">
        <w:rPr>
          <w:rFonts w:ascii="Arial" w:hAnsi="Arial" w:cs="Arial"/>
          <w:sz w:val="20"/>
          <w:szCs w:val="20"/>
        </w:rPr>
        <w:t xml:space="preserve"> from the text and your commentary, exercising the reading strategies we’ve practiced all year:</w:t>
      </w:r>
    </w:p>
    <w:p w:rsidR="00014412" w:rsidRPr="00CC7441" w:rsidRDefault="00014412" w:rsidP="00014412">
      <w:pPr>
        <w:pStyle w:val="ListParagraph"/>
        <w:numPr>
          <w:ilvl w:val="0"/>
          <w:numId w:val="1"/>
        </w:numPr>
        <w:rPr>
          <w:rFonts w:ascii="Arial" w:hAnsi="Arial" w:cs="Arial"/>
          <w:sz w:val="20"/>
          <w:szCs w:val="20"/>
        </w:rPr>
      </w:pPr>
      <w:r w:rsidRPr="00CC7441">
        <w:rPr>
          <w:rFonts w:ascii="Arial" w:hAnsi="Arial" w:cs="Arial"/>
          <w:sz w:val="20"/>
          <w:szCs w:val="20"/>
        </w:rPr>
        <w:t>Make connections.</w:t>
      </w:r>
    </w:p>
    <w:p w:rsidR="00014412" w:rsidRPr="00CC7441" w:rsidRDefault="00014412" w:rsidP="00014412">
      <w:pPr>
        <w:pStyle w:val="ListParagraph"/>
        <w:numPr>
          <w:ilvl w:val="0"/>
          <w:numId w:val="1"/>
        </w:numPr>
        <w:rPr>
          <w:rFonts w:ascii="Arial" w:hAnsi="Arial" w:cs="Arial"/>
          <w:sz w:val="20"/>
          <w:szCs w:val="20"/>
        </w:rPr>
      </w:pPr>
      <w:r w:rsidRPr="00CC7441">
        <w:rPr>
          <w:rFonts w:ascii="Arial" w:hAnsi="Arial" w:cs="Arial"/>
          <w:sz w:val="20"/>
          <w:szCs w:val="20"/>
        </w:rPr>
        <w:t>Ask questions.</w:t>
      </w:r>
    </w:p>
    <w:p w:rsidR="00DD0012" w:rsidRPr="00CC7441" w:rsidRDefault="00DD0012" w:rsidP="00DD0012">
      <w:pPr>
        <w:pStyle w:val="ListParagraph"/>
        <w:numPr>
          <w:ilvl w:val="0"/>
          <w:numId w:val="1"/>
        </w:numPr>
        <w:rPr>
          <w:rFonts w:ascii="Arial" w:hAnsi="Arial" w:cs="Arial"/>
          <w:sz w:val="20"/>
          <w:szCs w:val="20"/>
        </w:rPr>
      </w:pPr>
      <w:r w:rsidRPr="00CC7441">
        <w:rPr>
          <w:rFonts w:ascii="Arial" w:hAnsi="Arial" w:cs="Arial"/>
          <w:sz w:val="20"/>
          <w:szCs w:val="20"/>
        </w:rPr>
        <w:t>Analyze characters.</w:t>
      </w:r>
    </w:p>
    <w:p w:rsidR="00DD0012" w:rsidRPr="00CC7441" w:rsidRDefault="00DD0012" w:rsidP="00DD0012">
      <w:pPr>
        <w:pStyle w:val="ListParagraph"/>
        <w:numPr>
          <w:ilvl w:val="0"/>
          <w:numId w:val="1"/>
        </w:numPr>
        <w:rPr>
          <w:rFonts w:ascii="Arial" w:hAnsi="Arial" w:cs="Arial"/>
          <w:sz w:val="20"/>
          <w:szCs w:val="20"/>
        </w:rPr>
      </w:pPr>
      <w:r w:rsidRPr="00CC7441">
        <w:rPr>
          <w:rFonts w:ascii="Arial" w:hAnsi="Arial" w:cs="Arial"/>
          <w:sz w:val="20"/>
          <w:szCs w:val="20"/>
        </w:rPr>
        <w:t>Analyze themes.</w:t>
      </w:r>
    </w:p>
    <w:p w:rsidR="00DD0012" w:rsidRPr="00CC7441" w:rsidRDefault="00DD0012" w:rsidP="00DD0012">
      <w:pPr>
        <w:pStyle w:val="ListParagraph"/>
        <w:numPr>
          <w:ilvl w:val="0"/>
          <w:numId w:val="1"/>
        </w:numPr>
        <w:rPr>
          <w:rFonts w:ascii="Arial" w:hAnsi="Arial" w:cs="Arial"/>
          <w:sz w:val="20"/>
          <w:szCs w:val="20"/>
        </w:rPr>
      </w:pPr>
      <w:r w:rsidRPr="00CC7441">
        <w:rPr>
          <w:rFonts w:ascii="Arial" w:hAnsi="Arial" w:cs="Arial"/>
          <w:sz w:val="20"/>
          <w:szCs w:val="20"/>
        </w:rPr>
        <w:t>Analyze literary devices.</w:t>
      </w:r>
    </w:p>
    <w:p w:rsidR="00DD0012" w:rsidRPr="00CC7441" w:rsidRDefault="00DD0012" w:rsidP="00DD0012">
      <w:pPr>
        <w:pStyle w:val="ListParagraph"/>
        <w:numPr>
          <w:ilvl w:val="0"/>
          <w:numId w:val="1"/>
        </w:numPr>
        <w:rPr>
          <w:rFonts w:ascii="Arial" w:hAnsi="Arial" w:cs="Arial"/>
          <w:sz w:val="20"/>
          <w:szCs w:val="20"/>
        </w:rPr>
      </w:pPr>
      <w:r w:rsidRPr="00CC7441">
        <w:rPr>
          <w:rFonts w:ascii="Arial" w:hAnsi="Arial" w:cs="Arial"/>
          <w:sz w:val="20"/>
          <w:szCs w:val="20"/>
        </w:rPr>
        <w:t>Analyze the language (connotations).</w:t>
      </w:r>
    </w:p>
    <w:p w:rsidR="006954FB" w:rsidRPr="00CC7441" w:rsidRDefault="006954FB" w:rsidP="00DD0012">
      <w:pPr>
        <w:pStyle w:val="ListParagraph"/>
        <w:numPr>
          <w:ilvl w:val="0"/>
          <w:numId w:val="1"/>
        </w:numPr>
        <w:rPr>
          <w:rFonts w:ascii="Arial" w:hAnsi="Arial" w:cs="Arial"/>
          <w:sz w:val="20"/>
          <w:szCs w:val="20"/>
        </w:rPr>
      </w:pPr>
      <w:r w:rsidRPr="00CC7441">
        <w:rPr>
          <w:rFonts w:ascii="Arial" w:hAnsi="Arial" w:cs="Arial"/>
          <w:sz w:val="20"/>
          <w:szCs w:val="20"/>
        </w:rPr>
        <w:t>Analyze DIDLS</w:t>
      </w:r>
    </w:p>
    <w:p w:rsidR="00DD0012" w:rsidRPr="00DD0012" w:rsidRDefault="00DD0012" w:rsidP="00DD0012">
      <w:pPr>
        <w:rPr>
          <w:rFonts w:ascii="Arial" w:hAnsi="Arial" w:cs="Arial"/>
          <w:sz w:val="20"/>
          <w:szCs w:val="20"/>
          <w:u w:val="single"/>
        </w:rPr>
      </w:pPr>
      <w:r w:rsidRPr="00DD0012">
        <w:rPr>
          <w:rFonts w:ascii="Arial" w:hAnsi="Arial" w:cs="Arial"/>
          <w:sz w:val="20"/>
          <w:szCs w:val="20"/>
          <w:u w:val="single"/>
        </w:rPr>
        <w:t>Example:</w:t>
      </w:r>
    </w:p>
    <w:tbl>
      <w:tblPr>
        <w:tblStyle w:val="TableGrid"/>
        <w:tblW w:w="0" w:type="auto"/>
        <w:tblLook w:val="04A0"/>
      </w:tblPr>
      <w:tblGrid>
        <w:gridCol w:w="1458"/>
        <w:gridCol w:w="1818"/>
      </w:tblGrid>
      <w:tr w:rsidR="00DD0012" w:rsidTr="00CC7441">
        <w:tc>
          <w:tcPr>
            <w:tcW w:w="1458" w:type="dxa"/>
          </w:tcPr>
          <w:p w:rsidR="00DD0012" w:rsidRDefault="00CC7441" w:rsidP="00DD0012">
            <w:pPr>
              <w:rPr>
                <w:rFonts w:ascii="Arial" w:hAnsi="Arial" w:cs="Arial"/>
                <w:sz w:val="24"/>
                <w:szCs w:val="24"/>
              </w:rPr>
            </w:pPr>
            <w:r>
              <w:rPr>
                <w:rFonts w:ascii="Arial" w:hAnsi="Arial" w:cs="Arial"/>
                <w:sz w:val="24"/>
                <w:szCs w:val="24"/>
              </w:rPr>
              <w:t>CD</w:t>
            </w:r>
          </w:p>
        </w:tc>
        <w:tc>
          <w:tcPr>
            <w:tcW w:w="1818" w:type="dxa"/>
          </w:tcPr>
          <w:p w:rsidR="00DD0012" w:rsidRDefault="00DD0012" w:rsidP="00DD0012">
            <w:pPr>
              <w:rPr>
                <w:rFonts w:ascii="Arial" w:hAnsi="Arial" w:cs="Arial"/>
                <w:sz w:val="24"/>
                <w:szCs w:val="24"/>
              </w:rPr>
            </w:pPr>
            <w:r>
              <w:rPr>
                <w:rFonts w:ascii="Arial" w:hAnsi="Arial" w:cs="Arial"/>
                <w:sz w:val="24"/>
                <w:szCs w:val="24"/>
              </w:rPr>
              <w:t>CM</w:t>
            </w:r>
          </w:p>
        </w:tc>
      </w:tr>
      <w:tr w:rsidR="00DD0012" w:rsidTr="00CC7441">
        <w:tc>
          <w:tcPr>
            <w:tcW w:w="1458" w:type="dxa"/>
          </w:tcPr>
          <w:p w:rsidR="00DD0012" w:rsidRPr="00DD0012" w:rsidRDefault="006954FB" w:rsidP="00DD0012">
            <w:pPr>
              <w:rPr>
                <w:rFonts w:ascii="Arial" w:hAnsi="Arial" w:cs="Arial"/>
                <w:sz w:val="20"/>
                <w:szCs w:val="20"/>
              </w:rPr>
            </w:pPr>
            <w:r>
              <w:rPr>
                <w:rFonts w:ascii="Arial" w:hAnsi="Arial" w:cs="Arial"/>
                <w:sz w:val="20"/>
                <w:szCs w:val="20"/>
              </w:rPr>
              <w:t>p. 3 “swooped like birds of prey on to the helpless prisoners”</w:t>
            </w:r>
          </w:p>
        </w:tc>
        <w:tc>
          <w:tcPr>
            <w:tcW w:w="1818" w:type="dxa"/>
          </w:tcPr>
          <w:p w:rsidR="00DD0012" w:rsidRPr="00DD0012" w:rsidRDefault="006954FB" w:rsidP="00DD0012">
            <w:pPr>
              <w:rPr>
                <w:rFonts w:ascii="Arial" w:hAnsi="Arial" w:cs="Arial"/>
                <w:sz w:val="20"/>
                <w:szCs w:val="20"/>
              </w:rPr>
            </w:pPr>
            <w:r>
              <w:rPr>
                <w:rFonts w:ascii="Arial" w:hAnsi="Arial" w:cs="Arial"/>
                <w:sz w:val="20"/>
                <w:szCs w:val="20"/>
              </w:rPr>
              <w:t xml:space="preserve">This simile creates powerful imagery for the reader as members of the SS are characterized as “birds of prey.” All remorse or pity for </w:t>
            </w:r>
            <w:r w:rsidR="00CC7441">
              <w:rPr>
                <w:rFonts w:ascii="Arial" w:hAnsi="Arial" w:cs="Arial"/>
                <w:sz w:val="20"/>
                <w:szCs w:val="20"/>
              </w:rPr>
              <w:t>the prisoners, who are as “helpless” as field mice, is removed as the SS is dehumanized, incapable of any true emotion.</w:t>
            </w:r>
          </w:p>
        </w:tc>
      </w:tr>
    </w:tbl>
    <w:p w:rsidR="00CC7441" w:rsidRDefault="00CC7441" w:rsidP="00CC7441">
      <w:pPr>
        <w:rPr>
          <w:rFonts w:ascii="Lucida Handwriting" w:hAnsi="Lucida Handwriting"/>
          <w:b/>
          <w:sz w:val="28"/>
        </w:rPr>
      </w:pPr>
      <w:r w:rsidRPr="00014412">
        <w:rPr>
          <w:rFonts w:ascii="Lucida Handwriting" w:hAnsi="Lucida Handwriting"/>
          <w:b/>
          <w:noProof/>
          <w:sz w:val="28"/>
        </w:rPr>
        <w:drawing>
          <wp:anchor distT="0" distB="0" distL="114300" distR="114300" simplePos="0" relativeHeight="251683840" behindDoc="1" locked="0" layoutInCell="1" allowOverlap="1">
            <wp:simplePos x="0" y="0"/>
            <wp:positionH relativeFrom="column">
              <wp:posOffset>-95250</wp:posOffset>
            </wp:positionH>
            <wp:positionV relativeFrom="paragraph">
              <wp:posOffset>-114300</wp:posOffset>
            </wp:positionV>
            <wp:extent cx="923925" cy="923925"/>
            <wp:effectExtent l="19050" t="0" r="9525" b="0"/>
            <wp:wrapTight wrapText="bothSides">
              <wp:wrapPolygon edited="0">
                <wp:start x="5790" y="1781"/>
                <wp:lineTo x="1781" y="2227"/>
                <wp:lineTo x="-445" y="4899"/>
                <wp:lineTo x="-445" y="19151"/>
                <wp:lineTo x="1781" y="21377"/>
                <wp:lineTo x="5790" y="21377"/>
                <wp:lineTo x="14697" y="21377"/>
                <wp:lineTo x="21823" y="19151"/>
                <wp:lineTo x="21823" y="4008"/>
                <wp:lineTo x="19596" y="2672"/>
                <wp:lineTo x="8462" y="1781"/>
                <wp:lineTo x="5790" y="1781"/>
              </wp:wrapPolygon>
            </wp:wrapTight>
            <wp:docPr id="16" name="Picture 7" descr="32964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964151.gif"/>
                    <pic:cNvPicPr/>
                  </pic:nvPicPr>
                  <pic:blipFill>
                    <a:blip r:embed="rId6" cstate="print"/>
                    <a:stretch>
                      <a:fillRect/>
                    </a:stretch>
                  </pic:blipFill>
                  <pic:spPr>
                    <a:xfrm>
                      <a:off x="0" y="0"/>
                      <a:ext cx="923925" cy="923925"/>
                    </a:xfrm>
                    <a:prstGeom prst="rect">
                      <a:avLst/>
                    </a:prstGeom>
                  </pic:spPr>
                </pic:pic>
              </a:graphicData>
            </a:graphic>
          </wp:anchor>
        </w:drawing>
      </w:r>
      <w:r w:rsidRPr="00014412">
        <w:rPr>
          <w:rFonts w:ascii="Lucida Handwriting" w:hAnsi="Lucida Handwriting"/>
          <w:b/>
          <w:sz w:val="28"/>
        </w:rPr>
        <w:t>Reading Journal</w:t>
      </w:r>
    </w:p>
    <w:p w:rsidR="00CC7441" w:rsidRPr="00CC7441" w:rsidRDefault="00CC7441" w:rsidP="00CC7441">
      <w:pPr>
        <w:rPr>
          <w:rFonts w:ascii="Arial" w:hAnsi="Arial" w:cs="Arial"/>
          <w:sz w:val="20"/>
          <w:szCs w:val="20"/>
        </w:rPr>
      </w:pPr>
      <w:r w:rsidRPr="00CC7441">
        <w:rPr>
          <w:rFonts w:ascii="Arial" w:hAnsi="Arial" w:cs="Arial"/>
          <w:b/>
          <w:sz w:val="20"/>
          <w:szCs w:val="20"/>
        </w:rPr>
        <w:t>Reading is thinking</w:t>
      </w:r>
      <w:r w:rsidRPr="00CC7441">
        <w:rPr>
          <w:rFonts w:ascii="Arial" w:hAnsi="Arial" w:cs="Arial"/>
          <w:sz w:val="20"/>
          <w:szCs w:val="20"/>
        </w:rPr>
        <w:t>. To help you dig deep into the text, you’ll keep a reading journal, recording evidence (CD’s) from the text and your commentary, exercising the reading strategies we’ve practiced all year:</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Make connections.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Ask questions.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characters.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themes.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literary devices.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the language (connotations).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DIDLS</w:t>
      </w:r>
    </w:p>
    <w:p w:rsidR="00CC7441" w:rsidRPr="00DD0012" w:rsidRDefault="00CC7441" w:rsidP="00CC7441">
      <w:pPr>
        <w:rPr>
          <w:rFonts w:ascii="Arial" w:hAnsi="Arial" w:cs="Arial"/>
          <w:sz w:val="20"/>
          <w:szCs w:val="20"/>
          <w:u w:val="single"/>
        </w:rPr>
      </w:pPr>
      <w:r w:rsidRPr="00DD0012">
        <w:rPr>
          <w:rFonts w:ascii="Arial" w:hAnsi="Arial" w:cs="Arial"/>
          <w:sz w:val="20"/>
          <w:szCs w:val="20"/>
          <w:u w:val="single"/>
        </w:rPr>
        <w:t>Example:</w:t>
      </w:r>
    </w:p>
    <w:tbl>
      <w:tblPr>
        <w:tblStyle w:val="TableGrid"/>
        <w:tblW w:w="0" w:type="auto"/>
        <w:tblLook w:val="04A0"/>
      </w:tblPr>
      <w:tblGrid>
        <w:gridCol w:w="1458"/>
        <w:gridCol w:w="1818"/>
      </w:tblGrid>
      <w:tr w:rsidR="00CC7441" w:rsidTr="00E54DE8">
        <w:tc>
          <w:tcPr>
            <w:tcW w:w="1458" w:type="dxa"/>
          </w:tcPr>
          <w:p w:rsidR="00CC7441" w:rsidRDefault="00CC7441" w:rsidP="00E54DE8">
            <w:pPr>
              <w:rPr>
                <w:rFonts w:ascii="Arial" w:hAnsi="Arial" w:cs="Arial"/>
                <w:sz w:val="24"/>
                <w:szCs w:val="24"/>
              </w:rPr>
            </w:pPr>
            <w:r>
              <w:rPr>
                <w:rFonts w:ascii="Arial" w:hAnsi="Arial" w:cs="Arial"/>
                <w:sz w:val="24"/>
                <w:szCs w:val="24"/>
              </w:rPr>
              <w:t>CD</w:t>
            </w:r>
          </w:p>
        </w:tc>
        <w:tc>
          <w:tcPr>
            <w:tcW w:w="1818" w:type="dxa"/>
          </w:tcPr>
          <w:p w:rsidR="00CC7441" w:rsidRDefault="00CC7441" w:rsidP="00E54DE8">
            <w:pPr>
              <w:rPr>
                <w:rFonts w:ascii="Arial" w:hAnsi="Arial" w:cs="Arial"/>
                <w:sz w:val="24"/>
                <w:szCs w:val="24"/>
              </w:rPr>
            </w:pPr>
            <w:r>
              <w:rPr>
                <w:rFonts w:ascii="Arial" w:hAnsi="Arial" w:cs="Arial"/>
                <w:sz w:val="24"/>
                <w:szCs w:val="24"/>
              </w:rPr>
              <w:t>CM</w:t>
            </w:r>
          </w:p>
        </w:tc>
      </w:tr>
      <w:tr w:rsidR="00CC7441" w:rsidTr="00E54DE8">
        <w:tc>
          <w:tcPr>
            <w:tcW w:w="1458" w:type="dxa"/>
          </w:tcPr>
          <w:p w:rsidR="00CC7441" w:rsidRPr="00DD0012" w:rsidRDefault="00CC7441" w:rsidP="00E54DE8">
            <w:pPr>
              <w:rPr>
                <w:rFonts w:ascii="Arial" w:hAnsi="Arial" w:cs="Arial"/>
                <w:sz w:val="20"/>
                <w:szCs w:val="20"/>
              </w:rPr>
            </w:pPr>
            <w:r>
              <w:rPr>
                <w:rFonts w:ascii="Arial" w:hAnsi="Arial" w:cs="Arial"/>
                <w:sz w:val="20"/>
                <w:szCs w:val="20"/>
              </w:rPr>
              <w:t>p. 3 “swooped like birds of prey on to the helpless prisoners”</w:t>
            </w:r>
          </w:p>
        </w:tc>
        <w:tc>
          <w:tcPr>
            <w:tcW w:w="1818" w:type="dxa"/>
          </w:tcPr>
          <w:p w:rsidR="00CC7441" w:rsidRPr="00DD0012" w:rsidRDefault="00CC7441" w:rsidP="00E54DE8">
            <w:pPr>
              <w:rPr>
                <w:rFonts w:ascii="Arial" w:hAnsi="Arial" w:cs="Arial"/>
                <w:sz w:val="20"/>
                <w:szCs w:val="20"/>
              </w:rPr>
            </w:pPr>
            <w:r>
              <w:rPr>
                <w:rFonts w:ascii="Arial" w:hAnsi="Arial" w:cs="Arial"/>
                <w:sz w:val="20"/>
                <w:szCs w:val="20"/>
              </w:rPr>
              <w:t>This simile creates powerful imagery for the reader as members of the SS are characterized as “birds of prey.” All remorse or pity for the prisoners, who are as “helpless” as field mice, is removed as the SS is dehumanized, incapable of any true emotion.</w:t>
            </w:r>
          </w:p>
        </w:tc>
      </w:tr>
    </w:tbl>
    <w:p w:rsidR="00CC7441" w:rsidRDefault="00CC7441" w:rsidP="00CC7441">
      <w:pPr>
        <w:rPr>
          <w:rFonts w:ascii="Lucida Handwriting" w:hAnsi="Lucida Handwriting"/>
          <w:b/>
          <w:sz w:val="28"/>
        </w:rPr>
      </w:pPr>
      <w:r w:rsidRPr="00014412">
        <w:rPr>
          <w:rFonts w:ascii="Lucida Handwriting" w:hAnsi="Lucida Handwriting"/>
          <w:b/>
          <w:noProof/>
          <w:sz w:val="28"/>
        </w:rPr>
        <w:drawing>
          <wp:anchor distT="0" distB="0" distL="114300" distR="114300" simplePos="0" relativeHeight="251685888" behindDoc="1" locked="0" layoutInCell="1" allowOverlap="1">
            <wp:simplePos x="0" y="0"/>
            <wp:positionH relativeFrom="column">
              <wp:posOffset>-95250</wp:posOffset>
            </wp:positionH>
            <wp:positionV relativeFrom="paragraph">
              <wp:posOffset>-114300</wp:posOffset>
            </wp:positionV>
            <wp:extent cx="923925" cy="923925"/>
            <wp:effectExtent l="19050" t="0" r="9525" b="0"/>
            <wp:wrapTight wrapText="bothSides">
              <wp:wrapPolygon edited="0">
                <wp:start x="5790" y="1781"/>
                <wp:lineTo x="1781" y="2227"/>
                <wp:lineTo x="-445" y="4899"/>
                <wp:lineTo x="-445" y="19151"/>
                <wp:lineTo x="1781" y="21377"/>
                <wp:lineTo x="5790" y="21377"/>
                <wp:lineTo x="14697" y="21377"/>
                <wp:lineTo x="21823" y="19151"/>
                <wp:lineTo x="21823" y="4008"/>
                <wp:lineTo x="19596" y="2672"/>
                <wp:lineTo x="8462" y="1781"/>
                <wp:lineTo x="5790" y="1781"/>
              </wp:wrapPolygon>
            </wp:wrapTight>
            <wp:docPr id="17" name="Picture 7" descr="32964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964151.gif"/>
                    <pic:cNvPicPr/>
                  </pic:nvPicPr>
                  <pic:blipFill>
                    <a:blip r:embed="rId6" cstate="print"/>
                    <a:stretch>
                      <a:fillRect/>
                    </a:stretch>
                  </pic:blipFill>
                  <pic:spPr>
                    <a:xfrm>
                      <a:off x="0" y="0"/>
                      <a:ext cx="923925" cy="923925"/>
                    </a:xfrm>
                    <a:prstGeom prst="rect">
                      <a:avLst/>
                    </a:prstGeom>
                  </pic:spPr>
                </pic:pic>
              </a:graphicData>
            </a:graphic>
          </wp:anchor>
        </w:drawing>
      </w:r>
      <w:r w:rsidRPr="00014412">
        <w:rPr>
          <w:rFonts w:ascii="Lucida Handwriting" w:hAnsi="Lucida Handwriting"/>
          <w:b/>
          <w:sz w:val="28"/>
        </w:rPr>
        <w:t>Reading Journal</w:t>
      </w:r>
    </w:p>
    <w:p w:rsidR="00CC7441" w:rsidRPr="00CC7441" w:rsidRDefault="00CC7441" w:rsidP="00CC7441">
      <w:pPr>
        <w:rPr>
          <w:rFonts w:ascii="Arial" w:hAnsi="Arial" w:cs="Arial"/>
          <w:sz w:val="20"/>
          <w:szCs w:val="20"/>
        </w:rPr>
      </w:pPr>
      <w:r w:rsidRPr="00CC7441">
        <w:rPr>
          <w:rFonts w:ascii="Arial" w:hAnsi="Arial" w:cs="Arial"/>
          <w:b/>
          <w:sz w:val="20"/>
          <w:szCs w:val="20"/>
        </w:rPr>
        <w:t>Reading is thinking</w:t>
      </w:r>
      <w:r w:rsidRPr="00CC7441">
        <w:rPr>
          <w:rFonts w:ascii="Arial" w:hAnsi="Arial" w:cs="Arial"/>
          <w:sz w:val="20"/>
          <w:szCs w:val="20"/>
        </w:rPr>
        <w:t>. To help you dig deep into the text, you’ll keep a reading journal, recording evidence (CD’s) from the text and your commentary, exercising the reading strategies we’ve practiced all year:</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Make connections.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Ask questions.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characters.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themes.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literary devices.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the language (connotations).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DIDLS</w:t>
      </w:r>
    </w:p>
    <w:p w:rsidR="00CC7441" w:rsidRPr="00DD0012" w:rsidRDefault="00CC7441" w:rsidP="00CC7441">
      <w:pPr>
        <w:rPr>
          <w:rFonts w:ascii="Arial" w:hAnsi="Arial" w:cs="Arial"/>
          <w:sz w:val="20"/>
          <w:szCs w:val="20"/>
          <w:u w:val="single"/>
        </w:rPr>
      </w:pPr>
      <w:r w:rsidRPr="00DD0012">
        <w:rPr>
          <w:rFonts w:ascii="Arial" w:hAnsi="Arial" w:cs="Arial"/>
          <w:sz w:val="20"/>
          <w:szCs w:val="20"/>
          <w:u w:val="single"/>
        </w:rPr>
        <w:t>Example:</w:t>
      </w:r>
    </w:p>
    <w:tbl>
      <w:tblPr>
        <w:tblStyle w:val="TableGrid"/>
        <w:tblW w:w="0" w:type="auto"/>
        <w:tblLook w:val="04A0"/>
      </w:tblPr>
      <w:tblGrid>
        <w:gridCol w:w="1458"/>
        <w:gridCol w:w="1818"/>
      </w:tblGrid>
      <w:tr w:rsidR="00CC7441" w:rsidTr="00E54DE8">
        <w:tc>
          <w:tcPr>
            <w:tcW w:w="1458" w:type="dxa"/>
          </w:tcPr>
          <w:p w:rsidR="00CC7441" w:rsidRDefault="00CC7441" w:rsidP="00E54DE8">
            <w:pPr>
              <w:rPr>
                <w:rFonts w:ascii="Arial" w:hAnsi="Arial" w:cs="Arial"/>
                <w:sz w:val="24"/>
                <w:szCs w:val="24"/>
              </w:rPr>
            </w:pPr>
            <w:r>
              <w:rPr>
                <w:rFonts w:ascii="Arial" w:hAnsi="Arial" w:cs="Arial"/>
                <w:sz w:val="24"/>
                <w:szCs w:val="24"/>
              </w:rPr>
              <w:t>CD</w:t>
            </w:r>
          </w:p>
        </w:tc>
        <w:tc>
          <w:tcPr>
            <w:tcW w:w="1818" w:type="dxa"/>
          </w:tcPr>
          <w:p w:rsidR="00CC7441" w:rsidRDefault="00CC7441" w:rsidP="00E54DE8">
            <w:pPr>
              <w:rPr>
                <w:rFonts w:ascii="Arial" w:hAnsi="Arial" w:cs="Arial"/>
                <w:sz w:val="24"/>
                <w:szCs w:val="24"/>
              </w:rPr>
            </w:pPr>
            <w:r>
              <w:rPr>
                <w:rFonts w:ascii="Arial" w:hAnsi="Arial" w:cs="Arial"/>
                <w:sz w:val="24"/>
                <w:szCs w:val="24"/>
              </w:rPr>
              <w:t>CM</w:t>
            </w:r>
          </w:p>
        </w:tc>
      </w:tr>
      <w:tr w:rsidR="00CC7441" w:rsidTr="00E54DE8">
        <w:tc>
          <w:tcPr>
            <w:tcW w:w="1458" w:type="dxa"/>
          </w:tcPr>
          <w:p w:rsidR="00CC7441" w:rsidRPr="00DD0012" w:rsidRDefault="00CC7441" w:rsidP="00E54DE8">
            <w:pPr>
              <w:rPr>
                <w:rFonts w:ascii="Arial" w:hAnsi="Arial" w:cs="Arial"/>
                <w:sz w:val="20"/>
                <w:szCs w:val="20"/>
              </w:rPr>
            </w:pPr>
            <w:r>
              <w:rPr>
                <w:rFonts w:ascii="Arial" w:hAnsi="Arial" w:cs="Arial"/>
                <w:sz w:val="20"/>
                <w:szCs w:val="20"/>
              </w:rPr>
              <w:t>p. 3 “swooped like birds of prey on to the helpless prisoners”</w:t>
            </w:r>
          </w:p>
        </w:tc>
        <w:tc>
          <w:tcPr>
            <w:tcW w:w="1818" w:type="dxa"/>
          </w:tcPr>
          <w:p w:rsidR="00CC7441" w:rsidRPr="00DD0012" w:rsidRDefault="00CC7441" w:rsidP="00E54DE8">
            <w:pPr>
              <w:rPr>
                <w:rFonts w:ascii="Arial" w:hAnsi="Arial" w:cs="Arial"/>
                <w:sz w:val="20"/>
                <w:szCs w:val="20"/>
              </w:rPr>
            </w:pPr>
            <w:r>
              <w:rPr>
                <w:rFonts w:ascii="Arial" w:hAnsi="Arial" w:cs="Arial"/>
                <w:sz w:val="20"/>
                <w:szCs w:val="20"/>
              </w:rPr>
              <w:t>This simile creates powerful imagery for the reader as members of the SS are characterized as “birds of prey.” All remorse or pity for the prisoners, who are as “helpless” as field mice, is removed as the SS is dehumanized, incapable of any true emotion.</w:t>
            </w:r>
          </w:p>
        </w:tc>
      </w:tr>
    </w:tbl>
    <w:p w:rsidR="00CC7441" w:rsidRDefault="00CC7441" w:rsidP="00CC7441">
      <w:pPr>
        <w:rPr>
          <w:rFonts w:ascii="Lucida Handwriting" w:hAnsi="Lucida Handwriting"/>
          <w:b/>
          <w:sz w:val="28"/>
        </w:rPr>
      </w:pPr>
      <w:r w:rsidRPr="00014412">
        <w:rPr>
          <w:rFonts w:ascii="Lucida Handwriting" w:hAnsi="Lucida Handwriting"/>
          <w:b/>
          <w:noProof/>
          <w:sz w:val="28"/>
        </w:rPr>
        <w:drawing>
          <wp:anchor distT="0" distB="0" distL="114300" distR="114300" simplePos="0" relativeHeight="251687936" behindDoc="1" locked="0" layoutInCell="1" allowOverlap="1">
            <wp:simplePos x="0" y="0"/>
            <wp:positionH relativeFrom="column">
              <wp:posOffset>-95250</wp:posOffset>
            </wp:positionH>
            <wp:positionV relativeFrom="paragraph">
              <wp:posOffset>-114300</wp:posOffset>
            </wp:positionV>
            <wp:extent cx="923925" cy="923925"/>
            <wp:effectExtent l="19050" t="0" r="9525" b="0"/>
            <wp:wrapTight wrapText="bothSides">
              <wp:wrapPolygon edited="0">
                <wp:start x="5790" y="1781"/>
                <wp:lineTo x="1781" y="2227"/>
                <wp:lineTo x="-445" y="4899"/>
                <wp:lineTo x="-445" y="19151"/>
                <wp:lineTo x="1781" y="21377"/>
                <wp:lineTo x="5790" y="21377"/>
                <wp:lineTo x="14697" y="21377"/>
                <wp:lineTo x="21823" y="19151"/>
                <wp:lineTo x="21823" y="4008"/>
                <wp:lineTo x="19596" y="2672"/>
                <wp:lineTo x="8462" y="1781"/>
                <wp:lineTo x="5790" y="1781"/>
              </wp:wrapPolygon>
            </wp:wrapTight>
            <wp:docPr id="18" name="Picture 7" descr="32964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964151.gif"/>
                    <pic:cNvPicPr/>
                  </pic:nvPicPr>
                  <pic:blipFill>
                    <a:blip r:embed="rId6" cstate="print"/>
                    <a:stretch>
                      <a:fillRect/>
                    </a:stretch>
                  </pic:blipFill>
                  <pic:spPr>
                    <a:xfrm>
                      <a:off x="0" y="0"/>
                      <a:ext cx="923925" cy="923925"/>
                    </a:xfrm>
                    <a:prstGeom prst="rect">
                      <a:avLst/>
                    </a:prstGeom>
                  </pic:spPr>
                </pic:pic>
              </a:graphicData>
            </a:graphic>
          </wp:anchor>
        </w:drawing>
      </w:r>
      <w:r w:rsidRPr="00014412">
        <w:rPr>
          <w:rFonts w:ascii="Lucida Handwriting" w:hAnsi="Lucida Handwriting"/>
          <w:b/>
          <w:sz w:val="28"/>
        </w:rPr>
        <w:t>Reading Journal</w:t>
      </w:r>
    </w:p>
    <w:p w:rsidR="00CC7441" w:rsidRPr="00CC7441" w:rsidRDefault="00CC7441" w:rsidP="00CC7441">
      <w:pPr>
        <w:rPr>
          <w:rFonts w:ascii="Arial" w:hAnsi="Arial" w:cs="Arial"/>
          <w:sz w:val="20"/>
          <w:szCs w:val="20"/>
        </w:rPr>
      </w:pPr>
      <w:r w:rsidRPr="00CC7441">
        <w:rPr>
          <w:rFonts w:ascii="Arial" w:hAnsi="Arial" w:cs="Arial"/>
          <w:b/>
          <w:sz w:val="20"/>
          <w:szCs w:val="20"/>
        </w:rPr>
        <w:t>Reading is thinking</w:t>
      </w:r>
      <w:r w:rsidRPr="00CC7441">
        <w:rPr>
          <w:rFonts w:ascii="Arial" w:hAnsi="Arial" w:cs="Arial"/>
          <w:sz w:val="20"/>
          <w:szCs w:val="20"/>
        </w:rPr>
        <w:t>. To help you dig deep into the text, you’ll keep a reading journal, recording evidence (CD’s) from the text and your commentary, exercising the reading strategies we’ve practiced all year:</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Make connections.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Ask questions.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characters.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themes.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literary devices.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the language (connotations).</w:t>
      </w:r>
    </w:p>
    <w:p w:rsidR="00CC7441" w:rsidRPr="00CC7441" w:rsidRDefault="00CC7441" w:rsidP="00CC7441">
      <w:pPr>
        <w:pStyle w:val="ListParagraph"/>
        <w:numPr>
          <w:ilvl w:val="0"/>
          <w:numId w:val="1"/>
        </w:numPr>
        <w:rPr>
          <w:rFonts w:ascii="Arial" w:hAnsi="Arial" w:cs="Arial"/>
          <w:sz w:val="20"/>
          <w:szCs w:val="20"/>
        </w:rPr>
      </w:pPr>
      <w:r w:rsidRPr="00CC7441">
        <w:rPr>
          <w:rFonts w:ascii="Arial" w:hAnsi="Arial" w:cs="Arial"/>
          <w:sz w:val="20"/>
          <w:szCs w:val="20"/>
        </w:rPr>
        <w:t>Analyze DIDLS</w:t>
      </w:r>
    </w:p>
    <w:p w:rsidR="00CC7441" w:rsidRPr="00DD0012" w:rsidRDefault="00CC7441" w:rsidP="00CC7441">
      <w:pPr>
        <w:rPr>
          <w:rFonts w:ascii="Arial" w:hAnsi="Arial" w:cs="Arial"/>
          <w:sz w:val="20"/>
          <w:szCs w:val="20"/>
          <w:u w:val="single"/>
        </w:rPr>
      </w:pPr>
      <w:r w:rsidRPr="00DD0012">
        <w:rPr>
          <w:rFonts w:ascii="Arial" w:hAnsi="Arial" w:cs="Arial"/>
          <w:sz w:val="20"/>
          <w:szCs w:val="20"/>
          <w:u w:val="single"/>
        </w:rPr>
        <w:t>Example:</w:t>
      </w:r>
    </w:p>
    <w:tbl>
      <w:tblPr>
        <w:tblStyle w:val="TableGrid"/>
        <w:tblW w:w="0" w:type="auto"/>
        <w:tblLook w:val="04A0"/>
      </w:tblPr>
      <w:tblGrid>
        <w:gridCol w:w="1458"/>
        <w:gridCol w:w="1818"/>
      </w:tblGrid>
      <w:tr w:rsidR="00CC7441" w:rsidTr="00E54DE8">
        <w:tc>
          <w:tcPr>
            <w:tcW w:w="1458" w:type="dxa"/>
          </w:tcPr>
          <w:p w:rsidR="00CC7441" w:rsidRDefault="00CC7441" w:rsidP="00E54DE8">
            <w:pPr>
              <w:rPr>
                <w:rFonts w:ascii="Arial" w:hAnsi="Arial" w:cs="Arial"/>
                <w:sz w:val="24"/>
                <w:szCs w:val="24"/>
              </w:rPr>
            </w:pPr>
            <w:r>
              <w:rPr>
                <w:rFonts w:ascii="Arial" w:hAnsi="Arial" w:cs="Arial"/>
                <w:sz w:val="24"/>
                <w:szCs w:val="24"/>
              </w:rPr>
              <w:t>CD</w:t>
            </w:r>
          </w:p>
        </w:tc>
        <w:tc>
          <w:tcPr>
            <w:tcW w:w="1818" w:type="dxa"/>
          </w:tcPr>
          <w:p w:rsidR="00CC7441" w:rsidRDefault="00CC7441" w:rsidP="00E54DE8">
            <w:pPr>
              <w:rPr>
                <w:rFonts w:ascii="Arial" w:hAnsi="Arial" w:cs="Arial"/>
                <w:sz w:val="24"/>
                <w:szCs w:val="24"/>
              </w:rPr>
            </w:pPr>
            <w:r>
              <w:rPr>
                <w:rFonts w:ascii="Arial" w:hAnsi="Arial" w:cs="Arial"/>
                <w:sz w:val="24"/>
                <w:szCs w:val="24"/>
              </w:rPr>
              <w:t>CM</w:t>
            </w:r>
          </w:p>
        </w:tc>
      </w:tr>
      <w:tr w:rsidR="00CC7441" w:rsidTr="00E54DE8">
        <w:tc>
          <w:tcPr>
            <w:tcW w:w="1458" w:type="dxa"/>
          </w:tcPr>
          <w:p w:rsidR="00CC7441" w:rsidRPr="00DD0012" w:rsidRDefault="00CC7441" w:rsidP="00E54DE8">
            <w:pPr>
              <w:rPr>
                <w:rFonts w:ascii="Arial" w:hAnsi="Arial" w:cs="Arial"/>
                <w:sz w:val="20"/>
                <w:szCs w:val="20"/>
              </w:rPr>
            </w:pPr>
            <w:r>
              <w:rPr>
                <w:rFonts w:ascii="Arial" w:hAnsi="Arial" w:cs="Arial"/>
                <w:sz w:val="20"/>
                <w:szCs w:val="20"/>
              </w:rPr>
              <w:t>p. 3 “swooped like birds of prey on to the helpless prisoners”</w:t>
            </w:r>
          </w:p>
        </w:tc>
        <w:tc>
          <w:tcPr>
            <w:tcW w:w="1818" w:type="dxa"/>
          </w:tcPr>
          <w:p w:rsidR="00CC7441" w:rsidRPr="00DD0012" w:rsidRDefault="00CC7441" w:rsidP="00E54DE8">
            <w:pPr>
              <w:rPr>
                <w:rFonts w:ascii="Arial" w:hAnsi="Arial" w:cs="Arial"/>
                <w:sz w:val="20"/>
                <w:szCs w:val="20"/>
              </w:rPr>
            </w:pPr>
            <w:r>
              <w:rPr>
                <w:rFonts w:ascii="Arial" w:hAnsi="Arial" w:cs="Arial"/>
                <w:sz w:val="20"/>
                <w:szCs w:val="20"/>
              </w:rPr>
              <w:t>This simile creates powerful imagery for the reader as members of the SS are characterized as “birds of prey.” All remorse or pity for the prisoners, who are as “helpless” as field mice, is removed as the SS is dehumanized, incapable of any true emotion.</w:t>
            </w:r>
          </w:p>
        </w:tc>
      </w:tr>
    </w:tbl>
    <w:p w:rsidR="00DD0012" w:rsidRPr="00DD0012" w:rsidRDefault="00DD0012" w:rsidP="00DD0012">
      <w:pPr>
        <w:rPr>
          <w:rFonts w:ascii="Arial" w:hAnsi="Arial" w:cs="Arial"/>
          <w:sz w:val="24"/>
          <w:szCs w:val="24"/>
        </w:rPr>
      </w:pPr>
    </w:p>
    <w:sectPr w:rsidR="00DD0012" w:rsidRPr="00DD0012" w:rsidSect="003A3AFC">
      <w:pgSz w:w="15840" w:h="12240" w:orient="landscape"/>
      <w:pgMar w:top="720" w:right="720" w:bottom="720" w:left="720" w:header="720" w:footer="720" w:gutter="0"/>
      <w:cols w:num="4"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CC7"/>
    <w:multiLevelType w:val="hybridMultilevel"/>
    <w:tmpl w:val="7870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AA7064"/>
    <w:multiLevelType w:val="hybridMultilevel"/>
    <w:tmpl w:val="23BE9420"/>
    <w:lvl w:ilvl="0" w:tplc="7D3289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0C4254"/>
    <w:multiLevelType w:val="hybridMultilevel"/>
    <w:tmpl w:val="34C0F62E"/>
    <w:lvl w:ilvl="0" w:tplc="4FA275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A3AFC"/>
    <w:rsid w:val="00014412"/>
    <w:rsid w:val="000E1126"/>
    <w:rsid w:val="0021201A"/>
    <w:rsid w:val="003A3AFC"/>
    <w:rsid w:val="006954FB"/>
    <w:rsid w:val="00760BC3"/>
    <w:rsid w:val="00AC0AE0"/>
    <w:rsid w:val="00C6725A"/>
    <w:rsid w:val="00CB375A"/>
    <w:rsid w:val="00CC7441"/>
    <w:rsid w:val="00D33047"/>
    <w:rsid w:val="00D64113"/>
    <w:rsid w:val="00DA674E"/>
    <w:rsid w:val="00DD00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0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3A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144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412"/>
    <w:rPr>
      <w:rFonts w:ascii="Tahoma" w:hAnsi="Tahoma" w:cs="Tahoma"/>
      <w:sz w:val="16"/>
      <w:szCs w:val="16"/>
    </w:rPr>
  </w:style>
  <w:style w:type="paragraph" w:styleId="ListParagraph">
    <w:name w:val="List Paragraph"/>
    <w:basedOn w:val="Normal"/>
    <w:uiPriority w:val="34"/>
    <w:qFormat/>
    <w:rsid w:val="000144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lhuff</dc:creator>
  <cp:keywords/>
  <dc:description/>
  <cp:lastModifiedBy>Tech Support</cp:lastModifiedBy>
  <cp:revision>2</cp:revision>
  <cp:lastPrinted>2010-05-06T13:44:00Z</cp:lastPrinted>
  <dcterms:created xsi:type="dcterms:W3CDTF">2013-11-22T14:29:00Z</dcterms:created>
  <dcterms:modified xsi:type="dcterms:W3CDTF">2013-11-22T14:29:00Z</dcterms:modified>
</cp:coreProperties>
</file>